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2D7466" w14:paraId="58B5B660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9C9CE67" w14:textId="77777777" w:rsidR="002D7466" w:rsidRDefault="002F4107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E00331D" w14:textId="77777777" w:rsidR="002D7466" w:rsidRDefault="002F4107">
            <w:pPr>
              <w:spacing w:after="0" w:line="240" w:lineRule="auto"/>
            </w:pPr>
            <w:r>
              <w:t>36991</w:t>
            </w:r>
          </w:p>
        </w:tc>
      </w:tr>
      <w:tr w:rsidR="002D7466" w14:paraId="50C0525D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E226EB8" w14:textId="77777777" w:rsidR="002D7466" w:rsidRDefault="002F4107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19FE6DA0" w14:textId="77777777" w:rsidR="002D7466" w:rsidRDefault="002F4107">
            <w:pPr>
              <w:spacing w:after="0" w:line="240" w:lineRule="auto"/>
            </w:pPr>
            <w:r>
              <w:t>OPĆINA STARI JANKOVCI</w:t>
            </w:r>
          </w:p>
        </w:tc>
      </w:tr>
      <w:tr w:rsidR="002D7466" w14:paraId="0FD21C9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D249F4F" w14:textId="77777777" w:rsidR="002D7466" w:rsidRDefault="002F4107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01009EA0" w14:textId="77777777" w:rsidR="002D7466" w:rsidRDefault="002F4107">
            <w:pPr>
              <w:spacing w:after="0" w:line="240" w:lineRule="auto"/>
            </w:pPr>
            <w:r>
              <w:t>22</w:t>
            </w:r>
          </w:p>
        </w:tc>
      </w:tr>
    </w:tbl>
    <w:p w14:paraId="0A9FBD1A" w14:textId="77777777" w:rsidR="002D7466" w:rsidRDefault="002F4107">
      <w:r>
        <w:br/>
      </w:r>
    </w:p>
    <w:p w14:paraId="2D26512C" w14:textId="77777777" w:rsidR="002D7466" w:rsidRDefault="002F4107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3204C217" w14:textId="77777777" w:rsidR="002D7466" w:rsidRDefault="002F4107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B96B7EB" w14:textId="77777777" w:rsidR="002D7466" w:rsidRDefault="002F4107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601AA679" w14:textId="77777777" w:rsidR="002D7466" w:rsidRDefault="002D7466"/>
    <w:p w14:paraId="797147FF" w14:textId="77777777" w:rsidR="002D7466" w:rsidRDefault="002F4107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9E3EBE4" w14:textId="77777777" w:rsidR="002D7466" w:rsidRDefault="002F4107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D7466" w14:paraId="6DEE43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DD2CD3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D4776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7B452B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197184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4A832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57ECC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D7466" w14:paraId="2F26CB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8E6B76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BD7AE3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203B52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907EFE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1.624.900,85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64DE0B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1.816.848,93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72AEE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111,8</w:t>
            </w:r>
          </w:p>
        </w:tc>
      </w:tr>
      <w:tr w:rsidR="002D7466" w14:paraId="7C292A4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5E6075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A77692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7C8181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80E9C3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964.760,59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94A4A5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1.525.846,43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7D40BB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158,2</w:t>
            </w:r>
          </w:p>
        </w:tc>
      </w:tr>
      <w:tr w:rsidR="002D7466" w14:paraId="707CF9C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472E7F" w14:textId="77777777" w:rsidR="002D7466" w:rsidRDefault="002D746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CF962E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C12699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F284C9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660.140,26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DCFE9D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291.002,50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20C6F1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44,1</w:t>
            </w:r>
          </w:p>
        </w:tc>
      </w:tr>
      <w:tr w:rsidR="002D7466" w14:paraId="266D1B9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86DBD4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ABFECD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5ACD72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88797C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3.510,78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A97989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7.973,19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A887C3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227,1</w:t>
            </w:r>
          </w:p>
        </w:tc>
      </w:tr>
      <w:tr w:rsidR="002D7466" w14:paraId="2C5564D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C7F181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B88BB8E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8FFA53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82FD6D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1.005.115,42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40E5B7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536.325,18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B949EA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53,4</w:t>
            </w:r>
          </w:p>
        </w:tc>
      </w:tr>
      <w:tr w:rsidR="002D7466" w14:paraId="3796D1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0A2804" w14:textId="77777777" w:rsidR="002D7466" w:rsidRDefault="002D746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AE017A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7B6337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99E9CE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1.001.604,64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AB5FD8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528.351,99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88E3C4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52,8</w:t>
            </w:r>
          </w:p>
        </w:tc>
      </w:tr>
      <w:tr w:rsidR="002D7466" w14:paraId="08A361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F42DCE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58E1366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8B088B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D3AA31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34F0A5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00B16C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2D7466" w14:paraId="556B78E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CD95C4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F76CB3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11E977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365D49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A5984D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D0B990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2D7466" w14:paraId="07149F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09A9C8" w14:textId="77777777" w:rsidR="002D7466" w:rsidRDefault="002D746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C32729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C23101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DEB66D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093CE1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14FF1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2D7466" w14:paraId="43B6FF3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A01FA" w14:textId="77777777" w:rsidR="002D7466" w:rsidRDefault="002D746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3AAA96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AF235E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ECB60B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341.464,38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10CF96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237.349,49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F8969F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69,5</w:t>
            </w:r>
          </w:p>
        </w:tc>
      </w:tr>
    </w:tbl>
    <w:p w14:paraId="5E6AD12D" w14:textId="77777777" w:rsidR="002D7466" w:rsidRDefault="002D7466">
      <w:pPr>
        <w:spacing w:after="0"/>
      </w:pPr>
    </w:p>
    <w:p w14:paraId="42E79B84" w14:textId="77777777" w:rsidR="002D7466" w:rsidRDefault="002F4107">
      <w:pPr>
        <w:spacing w:line="240" w:lineRule="auto"/>
        <w:jc w:val="both"/>
      </w:pPr>
      <w:r>
        <w:t xml:space="preserve">BILJEŠKE  UZ  FINANCIJSKE IZVJEŠTAJE ZA 30.06.2025. GODINU   </w:t>
      </w:r>
      <w:r>
        <w:t xml:space="preserve">Financijsko izvješće za razdoblje od  01. siječnja do 30. lipnja 2025. godine sastavlja se sukladno Pravilniku o financijskom  izvještavanju u proračunskom računovodstvu („Narodne novine“ broj 3/15, 93/15, 135/15, 2/17, 28/17, 112/18,126/19, 145/20, 32/21 i 144/21,158/23) te Okružnici o predaji financijskih izvještaja jedinica lokalne i područne (regionalne) samouprave, proračunskih i izvanproračunskih korisnika proračuna jedinca lokalne i područne (regionalne) samouprave za razdoblje od 1. siječnja do 30. </w:t>
      </w:r>
      <w:r>
        <w:t xml:space="preserve">lipnja 2025. godine, objavljene od </w:t>
      </w:r>
      <w:r>
        <w:lastRenderedPageBreak/>
        <w:t>strane Ministarstva financija, a sastoji se od: Izvještaja o prihodima i rashodima, primicima i izdacima (Obrazac PR-RAS), Izvještaja o obvezama (Obrazac OBVEZE), Bilance (Obrazac BIL), Izvještaja o promjenama u vrijednosti i obujmu imovine i obveza (Obrazac P-VRIO) i Izvještaja o rashodima prema funkcijskoj klasifikaciji (Obrazac RAS-funkcijski).   Nastavno se u Bilješkama obrazlažu numerički podaci i veća odstupanja iskazana u obrascima.   1. Bilješke uz Izvještaj o prih</w:t>
      </w:r>
      <w:r>
        <w:t>odima i rashodima, primicima i izdacima (Obrazac: PR-RAS)  U bilješkama uz Izvještaj o prihodima i rashodima, primicima i izdacima navode se razlozi značajnijih odstupanja od ostvarenja prethodne godine.  1.1. PRIHODI I PRIMICI  Bilješka broj 1, šifra 6  Prihodi poslovanja u  izvještajnom  razdoblju ostvareni su u iznosu od 1.816.848,93 eura što je 11,80 %  više u odnosu na  prethodnu proračunsku godinu.  Značajno odstupanje ostvarenih prihoda u odnosu na  prethodnu godinu obrazlaže se kako slijedi:   Bilje</w:t>
      </w:r>
      <w:r>
        <w:t xml:space="preserve">ška broj 2, šifra 61  Porezi ove skupine su veći za 17,00 % u odnosu na prethodnu godinu. Glavninu ove skupine prihoda čini porez na dohodak a koji je ostvaren u iznosu od 277.050,43 eura što je 22,40 % više u odnosu na prethodnu godinu. Bolja zaposlenost utjecala je i na naplatu poreza i prireza na dohodak.   Bilješka broj 3, šifra 6142  Prihodi od poreza ove skupine odnose se na poreza na promet odnose se na porez na potrošnju alkoholnih i bezalkoholnih pića koji je ostvaren u iznosu od 2.092,48 eura što </w:t>
      </w:r>
      <w:r>
        <w:t>je više u odnosu na prethodnu godinu.  Bilješka broj 4, šifra 63  Pomoći iz inozemstva i od subjekata unutar općeg proračuna ostvarene su u iznosu od 790.537,11 eura što je za 14,30% veće u odnosu na prethodnu godinu.  Bilješka broj 5 šifra 64  Prihodi od imovine ostvareni su u iznosu od 520.757,38 eura što predstavlja 38,20% veće od prošlogodišnje realizacije.   Bilješka broj 6, šifra 65  Usporedbom podataka možemo zaključiti da su prihodi od upravnih i administrativnih pristojbi, pristojbi po posebnim pro</w:t>
      </w:r>
      <w:r>
        <w:t>pisima i naknada izvršeni su više u odnosu na prethodnu godinu. Značajnija odstupanja bilježimo na šifri 6524-doprinosi za šume koje su ostvarene u iznosu od 121.406,77 eura.   Bilješka broj 7, šifra 68  Kazne, upravne mjere i ostali prihodi ostvareni su u iznosu od 254,49 eura što je manje za 36,20% u odnosu na prethodnu 2024. godinu.  Bilješka broj 8, šifra 7  Prihodi od prodaje nefinancijske imovine u ovom izvještajnom razdoblju ostvareni su u iznosu od 7.973,19 eura što je za 127,10% više u odnosu na is</w:t>
      </w:r>
      <w:r>
        <w:t>to izvještajno razdoblje prethodne godine.    1.2.  RASHODI I IZDACI  Bilješka broj 9, šifra 3  Rashodi poslovanja za izvještajno razdoblje ostvareni su u iznosu od 1.525.846,43 eura što je 58,10 % veće u odnosu na prethodno izvještajno razdoblje.  Veća odstupanja u odnosu na prethodnu proračunsku godinu su kod sljedećih rashoda:  Bilješka broj 10, šifra 31  Rashodi za zaposlene ostvareni su u iznosu od 293.127,09 eura što je 195.90% veće u odnosu na prethodno izvještajno razdoblje zbog povećanja  broja dje</w:t>
      </w:r>
      <w:r>
        <w:t>latnika.   Bilješka broj 11, šifra 32  Materijalni rashodi ostvareni su u iznosu od 562.808,51 eura i za 17,70%  su veći nego prethodne godine.   Bilješka broj 12, šifra 322  Rashodi za materijal i energiju odnose se na uredski materijal i ostale materijalne rashode, energiju, materijal i dijelove za tekuće i investicijsko održavanje, sitni inventar te službenu, radnu i zaštitnu odjeću i obuću a ostvareni su iznosu od 60.055,99 eura što je za 6,60% veće nego prethodne godine. Najveće odstupanje odnosi se ma</w:t>
      </w:r>
      <w:r>
        <w:t>terijal i dijelove za tekuće i investicijsko održavanje za potrebe općine i energija.  Bilješka broj 13, šifra 323 . Rashodi za usluge ostvareni su u iznosu od 415.687,27 eura što je 15,90 % veće u odnosu na prethodnu godinu. Najznačajnija odstupanja se odnose na usluge telefona, pošte i prijevoza te usluge za tekuće i investicijsko održavanje za potrebe općine i energija. Nadalje došlo je do smanjenja rashoda za usluge promidžbe i informiranja. Komunalne usluge realizirane su u iznosu od 201.439,11 eura il</w:t>
      </w:r>
      <w:r>
        <w:t xml:space="preserve">i 60,10% više nego prethodne godine zbog veće usluge dezinsekcije i deratizacije, ali i zbog većih rashoda za potrošnju vode. Zakupnine i najamnine realizirane su u iznosu od 3.467,26 eura ili 12,20% više nego prethodne godine.  Bilješka broj 14, šifra 329  Ostali nespomenuti rashodi ostvareni su u iznosu od 73.572,85 eura što je 43,90 % više u odnosu na prethodnu proračunsku godinu   Bilješka broj 15,  šifra 34   Financijski rashodi realizirani su u iznosu od </w:t>
      </w:r>
      <w:r>
        <w:lastRenderedPageBreak/>
        <w:t>2.210,56 eura, 17,10% manje u odnosu na prethod</w:t>
      </w:r>
      <w:r>
        <w:t>nu godinu.     Bilješka broj 16, šifra 36  Pomoći ostvarene su u iznosu od 237.919,03 eura, 148.60 % veće u odnosu na prethodnu godinu.    Bilješka broj 17, šifra 37  Naknade građanima i kućanstvima na temelju osiguranja i druge naknade realizirane su u iznosu od 147.702,22 euro ili 45.20% veće u odnosu na prethodno razdoblje.  Bilješka broj 18,  šifra 38  Ostali rashodi realizirani su u iznosu od 166.943,71 eura ili 18,50% veće u odnosu na prethodnu godinu.    Bilješka broj 19, šifra 4  Rashodi za nabavu n</w:t>
      </w:r>
      <w:r>
        <w:t>efinancijske imovine ostvareni su u iznosu od 536.325,18 eura što je znatno manje (46,60%) u odnosu na isto izvještajno razdoblje prethodno proračunske godine a odnose se na :</w:t>
      </w:r>
    </w:p>
    <w:p w14:paraId="4A45ED92" w14:textId="77777777" w:rsidR="002D7466" w:rsidRDefault="002F4107">
      <w:r>
        <w:br/>
      </w:r>
    </w:p>
    <w:p w14:paraId="77B7D2FA" w14:textId="77777777" w:rsidR="002D7466" w:rsidRDefault="002F4107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225B1F6" w14:textId="77777777" w:rsidR="002D7466" w:rsidRDefault="002F4107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2D7466" w14:paraId="6BF768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290EFF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31244D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A8BBE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DFD5D5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1B361A" w14:textId="77777777" w:rsidR="002D7466" w:rsidRDefault="002F4107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D7466" w14:paraId="774A1A7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77778A" w14:textId="77777777" w:rsidR="002D7466" w:rsidRDefault="002D7466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318FB9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637496" w14:textId="77777777" w:rsidR="002D7466" w:rsidRDefault="002F4107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7C8A2A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71.767,98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CD47D8" w14:textId="77777777" w:rsidR="002D7466" w:rsidRDefault="002F4107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0E5F768" w14:textId="77777777" w:rsidR="002D7466" w:rsidRDefault="002D7466">
      <w:pPr>
        <w:spacing w:after="0"/>
      </w:pPr>
    </w:p>
    <w:p w14:paraId="41514931" w14:textId="77777777" w:rsidR="002D7466" w:rsidRDefault="002F4107">
      <w:pPr>
        <w:spacing w:line="240" w:lineRule="auto"/>
        <w:jc w:val="both"/>
      </w:pPr>
      <w:r>
        <w:t xml:space="preserve">1. Bilješke uz Izvještaj o obvezama (Obrazac: Obveze)  Bilješka broj 1 </w:t>
      </w:r>
      <w:r>
        <w:t>Početno stanje obveza (V001) iznosi 194.570,74 eura. U izvještajnom razdoblju nastale su nove obveze (V002) u iznosu od 2.002.216,13 eura, podmireno je ukupno 1.870.807,24 eura (V006), te stanje obveza na kraju izvještajnog razdoblja iznosi 325.979,63 eura.  Bilješka broj 2, V007 i V009 Dospjele obveze iznose 71.767,98 eura, a nedospjele obveze 254.211,65 eura. Dospjele obveze odnose se na obveze prema dobavljačima a koje su u prekoračenju od 1-60 dana.  Stanje nedospjelih obveza odnosi se na: - obvezu za p</w:t>
      </w:r>
      <w:r>
        <w:t>laće 06/25  - naknadu za uređenje voda (obveza za Hrvatske vode)  - nedospjele obveze prema dobavljačima za materijalne rashode   - nedospjele obveze prema dobavljačima za nefinancijsku imovinu   - ostale tekuće obveze</w:t>
      </w:r>
    </w:p>
    <w:p w14:paraId="6671B2BE" w14:textId="77777777" w:rsidR="002D7466" w:rsidRDefault="002D7466"/>
    <w:sectPr w:rsidR="002D7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466"/>
    <w:rsid w:val="002D7466"/>
    <w:rsid w:val="002F4107"/>
    <w:rsid w:val="00FB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A767"/>
  <w15:docId w15:val="{AF3AFF98-6D81-4B00-8890-E5C1120A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1209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Ris Knjigovodstvo</cp:lastModifiedBy>
  <cp:revision>2</cp:revision>
  <dcterms:created xsi:type="dcterms:W3CDTF">2025-07-10T17:42:00Z</dcterms:created>
  <dcterms:modified xsi:type="dcterms:W3CDTF">2025-07-10T17:42:00Z</dcterms:modified>
</cp:coreProperties>
</file>